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0" w:after="20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36"/>
          <w:szCs w:val="36"/>
          <w:lang w:eastAsia="en-U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-30480</wp:posOffset>
            </wp:positionH>
            <wp:positionV relativeFrom="paragraph">
              <wp:posOffset>8255</wp:posOffset>
            </wp:positionV>
            <wp:extent cx="1567180" cy="15767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Calibri" w:hAnsi="Calibri" w:asciiTheme="minorHAnsi" w:cstheme="minorBidi" w:eastAsiaTheme="minorHAnsi" w:hAnsiTheme="minorHAnsi"/>
          <w:b/>
          <w:sz w:val="36"/>
          <w:szCs w:val="36"/>
          <w:lang w:eastAsia="en-US"/>
        </w:rPr>
        <w:t>Perché occorre sostenere i ricorsi contro l’attuale legge elettorale?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lang w:eastAsia="en-US"/>
        </w:rPr>
      </w:pPr>
      <w:r>
        <w:rPr>
          <w:rFonts w:eastAsia="Calibri" w:cs="" w:cstheme="minorBidi" w:eastAsiaTheme="minorHAnsi" w:ascii="Calibri" w:hAnsi="Calibri"/>
          <w:b/>
          <w:bCs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/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Perché, seco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ndo la Costituzione, il corpo elettorale deve poter scegliere i propri rappresentanti con un voto eguale, libero e diretto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La Rete per la Politicità Sociale, inoltre, ritiene che la legge elettorale debba essere comprensibile a tutti, consentendo a ogni persona di conoscere l’effetto del proprio voto. 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La vigente legge elettorale detta “</w:t>
      </w:r>
      <w:r>
        <w:rPr>
          <w:rFonts w:eastAsia="Calibri" w:cs="" w:ascii="Calibri" w:hAnsi="Calibri" w:asciiTheme="minorHAnsi" w:cstheme="minorBidi" w:eastAsiaTheme="minorHAnsi" w:hAnsiTheme="minorHAnsi"/>
          <w:i/>
          <w:lang w:eastAsia="en-US"/>
        </w:rPr>
        <w:t>Rosatellum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”, unisce aspetti del sistema proporzionale con altri del maggioritario a turno unico: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3/8 dei parlamentari sono eletti con il maggioritario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(si aggiudica il seggio chi prende più voti) mentre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i restanti 5/8 sono eletti con il sistema proporzionale ma con listini bloccati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collegati al candidato del collegio uninominale.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color w:val="FF0000"/>
          <w:lang w:eastAsia="en-US"/>
        </w:rPr>
        <w:t>Chi vota non ha la pos</w:t>
      </w: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sibilità di esprimere una preferenza e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il meccanismo del trasferimento del voto dal candidato del collegio uninominale  ai listini collegati e viceversa priva la cittadinanza del diritto di scelta diretta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Terminati gli scrutini, otterranno degli eletti tutte le liste che, a livello nazionale,  avranno superato il 3%. 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Nel caso di coalizioni di liste, per godere dei vantaggi previsti dal Rosatellum per le coalizioni, occorre che la coalizione superi il 10% e che una delle liste della coalizione abbia superato il 3%; in questo caso si passa al calcolo della cosiddetta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cifra di coalizione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che si ottiene sommando i risultati ottenuti da ciascuna lista coalizzata, escludendo dalla somma quelle che non hanno raggiunto l’1%. Ecco un esempio.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Immaginiamo che una coalizione sia formata da quattro liste: la lista A che ottiene il 5% dei voti, la B il 2,7%, la C il 2,3% e la D lo 0,8%. Nel calcolo della cifra di coalizione D sarà esclusa non avendo raggiunto l’1% e quindi la coalizione avrà la cifra di coalizione del 10% (=5%+2,7%+2,3%) e otterrà il 10% dei seggi, che andranno tutti (!) alla lista A poiché è l’unica ad aver raggiunto il 3%.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In questo modo la lista A ottiene il 10% dei seggi, vale a dire il doppio di una lista E che si presentasse da sola e prendesse il 5%  dei voti.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 xml:space="preserve">A causa di questi meccanismi, qualsiasi elettore rischia di rafforzare un’altra lista a lui non gradita,  </w:t>
      </w:r>
      <w:r>
        <w:rPr>
          <w:rFonts w:eastAsia="Calibri" w:cs="" w:ascii="Calibri" w:hAnsi="Calibri" w:asciiTheme="minorHAnsi" w:cstheme="minorBidi" w:eastAsiaTheme="minorHAnsi" w:hAnsiTheme="minorHAnsi"/>
          <w:bCs/>
          <w:lang w:eastAsia="en-US"/>
        </w:rPr>
        <w:t>cosa inaccettabile soprattutto se si considera che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 xml:space="preserve"> la legge elettorale non richiede alle coalizioni né un programma di coalizione vincolante per le liste coalizzate né un “capo politico” della coalizione.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color w:val="FF0000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Il Rosatellum paradossalmente rispetta solo la volontà dell’elettore che ... non vota!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Infatti: 1) chi vota solo un candidato nel collegio uninominale, si trova forzosamente a votare anche le liste a esso collegate; 2) chi vota solo una lista proporzionale, senza poter scegliere all’interno della lista, vota automaticamente anche il candidato collegato nel collegio uninominale; 3) chi vota un candidato del collegio uninominale e una lista proporzionale collegata non sa chi concorre a eleggere nella quota proporzionale; ogni voto dato alle liste proporzionali, infatti, finisce in un totalizzatore nazionale  che ha due funzioni: la prima serve per verificare quale lista ha diritto a partecipare alla ripartizione dei seggi grazie al superamento del 3%; la seconda per determinare in base ad una classifica nazionale chi sono gli eletti di ciascuna lista. Tutto ciò comporta, ad esempio, che un elettore di una città che vota i candidati di una lista potrebbe contribuire a far eleggere un candidato della stessa lista ma in un’altra città! 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color w:val="FF0000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Il voto quindi non é uguale, non è libero, non è diretto e penalizza in modo irragionevole le liste non coalizzate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La legge elettorale vigente presenta evidenti elementi d’incostituzionalità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, soprattutto per la mancanza del voto disgiunto tra candidato maggioritario e listino proporzionale e per l’impossibilità di esprimere una preferenza, cosicché </w:t>
      </w: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sono gli organi di partito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, attraverso le candidature multiple e l’ordine di presentazione in lista, </w:t>
      </w:r>
      <w:r>
        <w:rPr>
          <w:rFonts w:eastAsia="Calibri" w:cs="" w:ascii="Calibri" w:hAnsi="Calibri" w:asciiTheme="minorHAnsi" w:cstheme="minorBidi" w:eastAsiaTheme="minorHAnsi" w:hAnsiTheme="minorHAnsi"/>
          <w:b/>
          <w:color w:val="FF0000"/>
          <w:lang w:eastAsia="en-US"/>
        </w:rPr>
        <w:t>a decidere chi potrà accedere al seggio parlamentare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. In questo modo gli eletti saranno molto più attenti alle indicazioni degli organi del partito che li ha fatti arrivare in parlamento piuttosto che a quelle degli elettori e delle elettrici.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La crescente astensione è anche l’effetto di questi meccanismi elettorali che privano il corpo elettorale della possibilità di scegliere i propri rappresentanti.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Poiché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vogliamo un Parlamento composto da persone scelte dalla cittadinanza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, ancora una volta siamo costretti a ricorrere allo strumento del ricorso in Corte Costituzionale per ripristinare il diritto costituzionale di scegliere i nostri rappresentanti.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Ecco perché la Rete per la politicità sociale chiede a tutti e tutte di collaborare ai ricorsi.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Chi desidera sostenere i ricorsi e restare in contatto con la Rete per la Politicità Sociale si registri sul sito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</w:t>
      </w:r>
      <w:hyperlink r:id="rId3">
        <w:r>
          <w:rPr>
            <w:rStyle w:val="CollegamentoInternet"/>
            <w:rFonts w:eastAsia="Calibri" w:cs="" w:ascii="Calibri" w:hAnsi="Calibri" w:asciiTheme="minorHAnsi" w:cstheme="minorBidi" w:eastAsiaTheme="minorHAnsi" w:hAnsiTheme="minorHAnsi"/>
            <w:lang w:eastAsia="en-US"/>
          </w:rPr>
          <w:t>www.rereperlapoliticitasociale.org</w:t>
        </w:r>
      </w:hyperlink>
      <w:r>
        <w:rPr>
          <w:rFonts w:eastAsia="Calibri" w:cs="" w:ascii="Calibri" w:hAnsi="Calibri" w:asciiTheme="minorHAnsi" w:cstheme="minorBidi" w:eastAsiaTheme="minorHAnsi" w:hAnsiTheme="minorHAnsi"/>
          <w:sz w:val="28"/>
          <w:lang w:eastAsia="en-US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e segnali la propria disponibilità,</w:t>
      </w:r>
    </w:p>
    <w:p>
      <w:pPr>
        <w:pStyle w:val="Normal"/>
        <w:suppressAutoHyphens w:val="false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sz w:val="28"/>
          <w:szCs w:val="28"/>
        </w:rPr>
      </w:pPr>
      <w:r>
        <w:rPr>
          <w:rFonts w:eastAsia="Calibri" w:cs="" w:ascii="Calibri" w:hAnsi="Calibri" w:cstheme="minorBidi" w:eastAsiaTheme="minorHAnsi"/>
          <w:lang w:eastAsia="en-US"/>
        </w:rPr>
        <w:t xml:space="preserve">Per scriverci indirizzate a </w:t>
      </w:r>
      <w:hyperlink r:id="rId4">
        <w:r>
          <w:rPr>
            <w:rStyle w:val="CollegamentoInternet"/>
            <w:rFonts w:eastAsia="Calibri" w:cs="" w:ascii="Calibri" w:hAnsi="Calibri" w:cstheme="minorBidi" w:eastAsiaTheme="minorHAnsi"/>
            <w:lang w:eastAsia="en-US"/>
          </w:rPr>
          <w:t>info@reteperlapoliticitasociale.org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ereperlapoliticitasociale.org/" TargetMode="External"/><Relationship Id="rId4" Type="http://schemas.openxmlformats.org/officeDocument/2006/relationships/hyperlink" Target="mailto:info@reteperlapoliticitasociale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Application>LibreOffice/7.2.6.2$Linux_X86_64 LibreOffice_project/20$Build-2</Application>
  <AppVersion>15.0000</AppVersion>
  <Pages>2</Pages>
  <Words>755</Words>
  <Characters>4124</Characters>
  <CharactersWithSpaces>4872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2022-04-10T22:34:00Z</dcterms:created>
  <dc:creator/>
  <dc:description/>
  <dc:language>it-IT</dc:language>
  <cp:lastModifiedBy/>
  <dcterms:modified xsi:type="dcterms:W3CDTF">2022-04-15T23:08:58Z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